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BB" w:rsidRPr="00D455E9" w:rsidRDefault="006210BB" w:rsidP="006210BB">
      <w:pPr>
        <w:spacing w:after="0" w:line="360" w:lineRule="auto"/>
        <w:jc w:val="center"/>
        <w:rPr>
          <w:rFonts w:ascii="Humanst521 BT" w:hAnsi="Humanst521 BT"/>
          <w:sz w:val="24"/>
          <w:szCs w:val="24"/>
        </w:rPr>
      </w:pPr>
      <w:r w:rsidRPr="00D455E9">
        <w:rPr>
          <w:rFonts w:ascii="Humanst521 BT" w:hAnsi="Humanst521 BT"/>
          <w:b/>
          <w:sz w:val="24"/>
          <w:szCs w:val="24"/>
        </w:rPr>
        <w:t>Autoevaluación.</w:t>
      </w:r>
    </w:p>
    <w:p w:rsidR="006210BB" w:rsidRPr="00D455E9" w:rsidRDefault="006210BB" w:rsidP="006210BB">
      <w:pPr>
        <w:spacing w:after="0" w:line="360" w:lineRule="auto"/>
        <w:rPr>
          <w:rFonts w:ascii="Humanst521 BT" w:hAnsi="Humanst521 BT"/>
          <w:sz w:val="24"/>
          <w:szCs w:val="24"/>
        </w:rPr>
      </w:pPr>
      <w:r w:rsidRPr="00D455E9">
        <w:rPr>
          <w:rFonts w:ascii="Humanst521 BT" w:hAnsi="Humanst521 BT"/>
          <w:sz w:val="24"/>
          <w:szCs w:val="24"/>
        </w:rPr>
        <w:t xml:space="preserve">Has llegado al final de la primer UAI entre las que conforman el BGAI. Es importante que descubras cuál ha sido, hasta ahora, el logro que has tenido de las competencias específicas del curso. </w:t>
      </w:r>
    </w:p>
    <w:p w:rsidR="006210BB" w:rsidRPr="00D455E9" w:rsidRDefault="006210BB" w:rsidP="006210BB">
      <w:pPr>
        <w:spacing w:after="0" w:line="360" w:lineRule="auto"/>
        <w:rPr>
          <w:rFonts w:ascii="Humanst521 BT" w:hAnsi="Humanst521 BT"/>
          <w:sz w:val="24"/>
          <w:szCs w:val="24"/>
        </w:rPr>
      </w:pPr>
      <w:r w:rsidRPr="00D455E9">
        <w:rPr>
          <w:rFonts w:ascii="Humanst521 BT" w:hAnsi="Humanst521 BT"/>
          <w:sz w:val="24"/>
          <w:szCs w:val="24"/>
        </w:rPr>
        <w:t>Responde al si</w:t>
      </w:r>
      <w:bookmarkStart w:id="0" w:name="_GoBack"/>
      <w:bookmarkEnd w:id="0"/>
      <w:r w:rsidRPr="00D455E9">
        <w:rPr>
          <w:rFonts w:ascii="Humanst521 BT" w:hAnsi="Humanst521 BT"/>
          <w:sz w:val="24"/>
          <w:szCs w:val="24"/>
        </w:rPr>
        <w:t>guiente instrumento y espera  la retroalimentación de tu asesor.</w:t>
      </w:r>
    </w:p>
    <w:p w:rsidR="006210BB" w:rsidRPr="00D455E9" w:rsidRDefault="006210BB" w:rsidP="006210BB">
      <w:pPr>
        <w:pStyle w:val="Prrafodelista"/>
        <w:numPr>
          <w:ilvl w:val="0"/>
          <w:numId w:val="1"/>
        </w:numPr>
        <w:spacing w:after="0" w:line="360" w:lineRule="auto"/>
        <w:rPr>
          <w:rFonts w:ascii="Humanst521 BT" w:hAnsi="Humanst521 BT"/>
          <w:sz w:val="24"/>
          <w:szCs w:val="24"/>
        </w:rPr>
      </w:pPr>
      <w:r w:rsidRPr="00D455E9">
        <w:rPr>
          <w:rFonts w:ascii="Humanst521 BT" w:hAnsi="Humanst521 BT"/>
          <w:sz w:val="24"/>
          <w:szCs w:val="24"/>
        </w:rPr>
        <w:t>Marca  con una (X) el nivel que consideras has logrado en cada una de las competencias del curso ahora que ha concluido.</w:t>
      </w:r>
    </w:p>
    <w:p w:rsidR="006210BB" w:rsidRPr="00D455E9" w:rsidRDefault="006210BB" w:rsidP="006210BB">
      <w:pPr>
        <w:pStyle w:val="Prrafodelista"/>
        <w:numPr>
          <w:ilvl w:val="0"/>
          <w:numId w:val="1"/>
        </w:numPr>
        <w:spacing w:after="0" w:line="360" w:lineRule="auto"/>
        <w:rPr>
          <w:rFonts w:ascii="Humanst521 BT" w:hAnsi="Humanst521 BT"/>
          <w:sz w:val="24"/>
          <w:szCs w:val="24"/>
        </w:rPr>
      </w:pPr>
      <w:r w:rsidRPr="00D455E9">
        <w:rPr>
          <w:rFonts w:ascii="Humanst521 BT" w:hAnsi="Humanst521 BT"/>
          <w:sz w:val="24"/>
          <w:szCs w:val="24"/>
        </w:rPr>
        <w:t>Escribe, en el espacio de observaciones, la razón por la cual consideras que te encuentras en ese nivel.</w:t>
      </w:r>
    </w:p>
    <w:tbl>
      <w:tblPr>
        <w:tblStyle w:val="Tablaconcuadrcula"/>
        <w:tblW w:w="0" w:type="auto"/>
        <w:tblLook w:val="04A0" w:firstRow="1" w:lastRow="0" w:firstColumn="1" w:lastColumn="0" w:noHBand="0" w:noVBand="1"/>
      </w:tblPr>
      <w:tblGrid>
        <w:gridCol w:w="2427"/>
        <w:gridCol w:w="1388"/>
        <w:gridCol w:w="1299"/>
        <w:gridCol w:w="1388"/>
        <w:gridCol w:w="2326"/>
      </w:tblGrid>
      <w:tr w:rsidR="006210BB" w:rsidRPr="00D455E9" w:rsidTr="00DA61C1">
        <w:tc>
          <w:tcPr>
            <w:tcW w:w="2624" w:type="dxa"/>
          </w:tcPr>
          <w:p w:rsidR="006210BB" w:rsidRPr="00D455E9" w:rsidRDefault="006210BB" w:rsidP="00DA61C1">
            <w:pPr>
              <w:spacing w:line="360" w:lineRule="auto"/>
              <w:rPr>
                <w:rFonts w:ascii="Humanst521 BT" w:hAnsi="Humanst521 BT"/>
                <w:sz w:val="24"/>
                <w:szCs w:val="24"/>
              </w:rPr>
            </w:pPr>
          </w:p>
          <w:p w:rsidR="006210BB" w:rsidRPr="00D455E9" w:rsidRDefault="006210BB" w:rsidP="00DA61C1">
            <w:pPr>
              <w:spacing w:line="360" w:lineRule="auto"/>
              <w:rPr>
                <w:rFonts w:ascii="Humanst521 BT" w:hAnsi="Humanst521 BT"/>
                <w:sz w:val="24"/>
                <w:szCs w:val="24"/>
              </w:rPr>
            </w:pPr>
            <w:r w:rsidRPr="00D455E9">
              <w:rPr>
                <w:rFonts w:ascii="Humanst521 BT" w:hAnsi="Humanst521 BT"/>
                <w:sz w:val="24"/>
                <w:szCs w:val="24"/>
              </w:rPr>
              <w:t>COMPETENCIA</w:t>
            </w:r>
          </w:p>
        </w:tc>
        <w:tc>
          <w:tcPr>
            <w:tcW w:w="1203" w:type="dxa"/>
          </w:tcPr>
          <w:p w:rsidR="006210BB" w:rsidRPr="00D455E9" w:rsidRDefault="006210BB" w:rsidP="00DA61C1">
            <w:pPr>
              <w:spacing w:line="360" w:lineRule="auto"/>
              <w:rPr>
                <w:rFonts w:ascii="Humanst521 BT" w:hAnsi="Humanst521 BT"/>
                <w:sz w:val="24"/>
                <w:szCs w:val="24"/>
              </w:rPr>
            </w:pPr>
            <w:r w:rsidRPr="00D455E9">
              <w:rPr>
                <w:rFonts w:ascii="Humanst521 BT" w:hAnsi="Humanst521 BT"/>
                <w:sz w:val="24"/>
                <w:szCs w:val="24"/>
              </w:rPr>
              <w:t>LOGRADO (3)</w:t>
            </w:r>
          </w:p>
        </w:tc>
        <w:tc>
          <w:tcPr>
            <w:tcW w:w="1144" w:type="dxa"/>
          </w:tcPr>
          <w:p w:rsidR="006210BB" w:rsidRPr="00D455E9" w:rsidRDefault="006210BB" w:rsidP="00DA61C1">
            <w:pPr>
              <w:spacing w:line="360" w:lineRule="auto"/>
              <w:rPr>
                <w:rFonts w:ascii="Humanst521 BT" w:hAnsi="Humanst521 BT"/>
                <w:sz w:val="24"/>
                <w:szCs w:val="24"/>
              </w:rPr>
            </w:pPr>
            <w:r w:rsidRPr="00D455E9">
              <w:rPr>
                <w:rFonts w:ascii="Humanst521 BT" w:hAnsi="Humanst521 BT"/>
                <w:sz w:val="24"/>
                <w:szCs w:val="24"/>
              </w:rPr>
              <w:t>EN PROCESO (2)</w:t>
            </w:r>
          </w:p>
        </w:tc>
        <w:tc>
          <w:tcPr>
            <w:tcW w:w="1203" w:type="dxa"/>
          </w:tcPr>
          <w:p w:rsidR="006210BB" w:rsidRPr="00D455E9" w:rsidRDefault="006210BB" w:rsidP="00DA61C1">
            <w:pPr>
              <w:spacing w:line="360" w:lineRule="auto"/>
              <w:rPr>
                <w:rFonts w:ascii="Humanst521 BT" w:hAnsi="Humanst521 BT"/>
                <w:sz w:val="24"/>
                <w:szCs w:val="24"/>
              </w:rPr>
            </w:pPr>
            <w:r w:rsidRPr="00D455E9">
              <w:rPr>
                <w:rFonts w:ascii="Humanst521 BT" w:hAnsi="Humanst521 BT"/>
                <w:sz w:val="24"/>
                <w:szCs w:val="24"/>
              </w:rPr>
              <w:t>NO LOGRADO (1)</w:t>
            </w:r>
          </w:p>
        </w:tc>
        <w:tc>
          <w:tcPr>
            <w:tcW w:w="2654" w:type="dxa"/>
          </w:tcPr>
          <w:p w:rsidR="006210BB" w:rsidRPr="00D455E9" w:rsidRDefault="006210BB" w:rsidP="00DA61C1">
            <w:pPr>
              <w:spacing w:line="360" w:lineRule="auto"/>
              <w:rPr>
                <w:rFonts w:ascii="Humanst521 BT" w:hAnsi="Humanst521 BT"/>
                <w:sz w:val="24"/>
                <w:szCs w:val="24"/>
              </w:rPr>
            </w:pPr>
          </w:p>
          <w:p w:rsidR="006210BB" w:rsidRPr="00D455E9" w:rsidRDefault="006210BB" w:rsidP="00DA61C1">
            <w:pPr>
              <w:spacing w:line="360" w:lineRule="auto"/>
              <w:rPr>
                <w:rFonts w:ascii="Humanst521 BT" w:hAnsi="Humanst521 BT"/>
                <w:sz w:val="24"/>
                <w:szCs w:val="24"/>
              </w:rPr>
            </w:pPr>
            <w:r w:rsidRPr="00D455E9">
              <w:rPr>
                <w:rFonts w:ascii="Humanst521 BT" w:hAnsi="Humanst521 BT"/>
                <w:sz w:val="24"/>
                <w:szCs w:val="24"/>
              </w:rPr>
              <w:t>OBSERVACIONES</w:t>
            </w:r>
          </w:p>
        </w:tc>
      </w:tr>
      <w:tr w:rsidR="006210BB" w:rsidRPr="00D455E9" w:rsidTr="00DA61C1">
        <w:tc>
          <w:tcPr>
            <w:tcW w:w="2624" w:type="dxa"/>
          </w:tcPr>
          <w:p w:rsidR="006210BB" w:rsidRPr="00D455E9" w:rsidRDefault="006210BB" w:rsidP="00DA61C1">
            <w:pPr>
              <w:spacing w:line="360" w:lineRule="auto"/>
              <w:ind w:left="284"/>
              <w:rPr>
                <w:rFonts w:ascii="Humanst521 BT" w:hAnsi="Humanst521 BT" w:cstheme="minorHAnsi"/>
                <w:sz w:val="24"/>
                <w:szCs w:val="24"/>
              </w:rPr>
            </w:pPr>
            <w:r>
              <w:rPr>
                <w:rFonts w:ascii="Humanst521 BT" w:hAnsi="Humanst521 BT" w:cstheme="minorHAnsi"/>
                <w:sz w:val="24"/>
                <w:szCs w:val="24"/>
              </w:rPr>
              <w:t>Uso</w:t>
            </w:r>
            <w:r w:rsidRPr="00D455E9">
              <w:rPr>
                <w:rFonts w:ascii="Humanst521 BT" w:hAnsi="Humanst521 BT" w:cstheme="minorHAnsi"/>
                <w:sz w:val="24"/>
                <w:szCs w:val="24"/>
              </w:rPr>
              <w:t xml:space="preserve"> el lenguaje de la matemática para la solución de problemas cotidianos con base en símbolos </w:t>
            </w:r>
            <w:r w:rsidRPr="00D455E9">
              <w:rPr>
                <w:rFonts w:ascii="Humanst521 BT" w:hAnsi="Humanst521 BT" w:cstheme="minorHAnsi"/>
                <w:sz w:val="24"/>
                <w:szCs w:val="24"/>
              </w:rPr>
              <w:lastRenderedPageBreak/>
              <w:t>matemáticos y científicos.</w:t>
            </w:r>
          </w:p>
        </w:tc>
        <w:tc>
          <w:tcPr>
            <w:tcW w:w="1203" w:type="dxa"/>
          </w:tcPr>
          <w:p w:rsidR="006210BB" w:rsidRPr="00D455E9" w:rsidRDefault="006210BB" w:rsidP="00DA61C1">
            <w:pPr>
              <w:spacing w:line="360" w:lineRule="auto"/>
              <w:rPr>
                <w:rFonts w:ascii="Humanst521 BT" w:hAnsi="Humanst521 BT"/>
                <w:sz w:val="24"/>
                <w:szCs w:val="24"/>
              </w:rPr>
            </w:pPr>
          </w:p>
        </w:tc>
        <w:tc>
          <w:tcPr>
            <w:tcW w:w="1144" w:type="dxa"/>
          </w:tcPr>
          <w:p w:rsidR="006210BB" w:rsidRPr="00D455E9" w:rsidRDefault="006210BB" w:rsidP="00DA61C1">
            <w:pPr>
              <w:spacing w:line="360" w:lineRule="auto"/>
              <w:rPr>
                <w:rFonts w:ascii="Humanst521 BT" w:hAnsi="Humanst521 BT"/>
                <w:sz w:val="24"/>
                <w:szCs w:val="24"/>
              </w:rPr>
            </w:pPr>
          </w:p>
        </w:tc>
        <w:tc>
          <w:tcPr>
            <w:tcW w:w="1203" w:type="dxa"/>
          </w:tcPr>
          <w:p w:rsidR="006210BB" w:rsidRPr="00D455E9" w:rsidRDefault="006210BB" w:rsidP="00DA61C1">
            <w:pPr>
              <w:spacing w:line="360" w:lineRule="auto"/>
              <w:rPr>
                <w:rFonts w:ascii="Humanst521 BT" w:hAnsi="Humanst521 BT"/>
                <w:sz w:val="24"/>
                <w:szCs w:val="24"/>
              </w:rPr>
            </w:pPr>
          </w:p>
        </w:tc>
        <w:tc>
          <w:tcPr>
            <w:tcW w:w="2654" w:type="dxa"/>
          </w:tcPr>
          <w:p w:rsidR="006210BB" w:rsidRPr="00D455E9" w:rsidRDefault="006210BB" w:rsidP="00DA61C1">
            <w:pPr>
              <w:spacing w:line="360" w:lineRule="auto"/>
              <w:rPr>
                <w:rFonts w:ascii="Humanst521 BT" w:hAnsi="Humanst521 BT"/>
                <w:sz w:val="24"/>
                <w:szCs w:val="24"/>
              </w:rPr>
            </w:pPr>
          </w:p>
        </w:tc>
      </w:tr>
      <w:tr w:rsidR="006210BB" w:rsidRPr="00D455E9" w:rsidTr="00DA61C1">
        <w:tc>
          <w:tcPr>
            <w:tcW w:w="2624" w:type="dxa"/>
          </w:tcPr>
          <w:p w:rsidR="006210BB" w:rsidRPr="00D455E9" w:rsidRDefault="006210BB" w:rsidP="00DA61C1">
            <w:pPr>
              <w:spacing w:line="360" w:lineRule="auto"/>
              <w:ind w:left="284"/>
              <w:rPr>
                <w:rFonts w:ascii="Humanst521 BT" w:hAnsi="Humanst521 BT" w:cstheme="minorHAnsi"/>
                <w:sz w:val="24"/>
                <w:szCs w:val="24"/>
              </w:rPr>
            </w:pPr>
            <w:r>
              <w:rPr>
                <w:rFonts w:ascii="Humanst521 BT" w:hAnsi="Humanst521 BT" w:cstheme="minorHAnsi"/>
                <w:sz w:val="24"/>
                <w:szCs w:val="24"/>
              </w:rPr>
              <w:lastRenderedPageBreak/>
              <w:t>Aplico</w:t>
            </w:r>
            <w:r w:rsidRPr="00D455E9">
              <w:rPr>
                <w:rFonts w:ascii="Humanst521 BT" w:hAnsi="Humanst521 BT" w:cstheme="minorHAnsi"/>
                <w:sz w:val="24"/>
                <w:szCs w:val="24"/>
              </w:rPr>
              <w:t xml:space="preserve"> de forma estructurada los procedimientos y herramientas matemáticas para la resolución de problemas que impliquen situaciones de la vida cotidiana.</w:t>
            </w:r>
          </w:p>
        </w:tc>
        <w:tc>
          <w:tcPr>
            <w:tcW w:w="1203" w:type="dxa"/>
          </w:tcPr>
          <w:p w:rsidR="006210BB" w:rsidRPr="00D455E9" w:rsidRDefault="006210BB" w:rsidP="00DA61C1">
            <w:pPr>
              <w:spacing w:line="360" w:lineRule="auto"/>
              <w:rPr>
                <w:rFonts w:ascii="Humanst521 BT" w:hAnsi="Humanst521 BT"/>
                <w:sz w:val="24"/>
                <w:szCs w:val="24"/>
              </w:rPr>
            </w:pPr>
          </w:p>
        </w:tc>
        <w:tc>
          <w:tcPr>
            <w:tcW w:w="1144" w:type="dxa"/>
          </w:tcPr>
          <w:p w:rsidR="006210BB" w:rsidRPr="00D455E9" w:rsidRDefault="006210BB" w:rsidP="00DA61C1">
            <w:pPr>
              <w:spacing w:line="360" w:lineRule="auto"/>
              <w:rPr>
                <w:rFonts w:ascii="Humanst521 BT" w:hAnsi="Humanst521 BT"/>
                <w:sz w:val="24"/>
                <w:szCs w:val="24"/>
              </w:rPr>
            </w:pPr>
          </w:p>
        </w:tc>
        <w:tc>
          <w:tcPr>
            <w:tcW w:w="1203" w:type="dxa"/>
          </w:tcPr>
          <w:p w:rsidR="006210BB" w:rsidRPr="00D455E9" w:rsidRDefault="006210BB" w:rsidP="00DA61C1">
            <w:pPr>
              <w:spacing w:line="360" w:lineRule="auto"/>
              <w:rPr>
                <w:rFonts w:ascii="Humanst521 BT" w:hAnsi="Humanst521 BT"/>
                <w:sz w:val="24"/>
                <w:szCs w:val="24"/>
              </w:rPr>
            </w:pPr>
          </w:p>
        </w:tc>
        <w:tc>
          <w:tcPr>
            <w:tcW w:w="2654" w:type="dxa"/>
          </w:tcPr>
          <w:p w:rsidR="006210BB" w:rsidRPr="00D455E9" w:rsidRDefault="006210BB" w:rsidP="00DA61C1">
            <w:pPr>
              <w:spacing w:line="360" w:lineRule="auto"/>
              <w:rPr>
                <w:rFonts w:ascii="Humanst521 BT" w:hAnsi="Humanst521 BT"/>
                <w:sz w:val="24"/>
                <w:szCs w:val="24"/>
              </w:rPr>
            </w:pPr>
          </w:p>
        </w:tc>
      </w:tr>
    </w:tbl>
    <w:p w:rsidR="00D85704" w:rsidRDefault="00D85704"/>
    <w:sectPr w:rsidR="00D8570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F2" w:rsidRDefault="00C270F2" w:rsidP="006210BB">
      <w:pPr>
        <w:spacing w:after="0" w:line="240" w:lineRule="auto"/>
      </w:pPr>
      <w:r>
        <w:separator/>
      </w:r>
    </w:p>
  </w:endnote>
  <w:endnote w:type="continuationSeparator" w:id="0">
    <w:p w:rsidR="00C270F2" w:rsidRDefault="00C270F2" w:rsidP="0062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Humanst521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BB" w:rsidRDefault="006210BB" w:rsidP="006210BB">
    <w:pPr>
      <w:pStyle w:val="Piedepgina"/>
      <w:jc w:val="right"/>
    </w:pPr>
    <w:r>
      <w:rPr>
        <w:rStyle w:val="A0"/>
      </w:rPr>
      <w:t xml:space="preserve">                  © 2016, Godoy Gamboa Job, Huerta Castañeda Mónica Alejandra y Mercado Vásquez María del Carmen      </w:t>
    </w:r>
    <w:r>
      <w:rPr>
        <w:noProof/>
        <w:lang w:eastAsia="es-MX"/>
      </w:rPr>
      <w:t xml:space="preserve">                    </w:t>
    </w:r>
    <w:r>
      <w:rPr>
        <w:noProof/>
        <w:lang w:eastAsia="es-MX"/>
      </w:rPr>
      <w:drawing>
        <wp:inline distT="0" distB="0" distL="0" distR="0" wp14:anchorId="25A46709" wp14:editId="2F119664">
          <wp:extent cx="980966" cy="285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a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4186" cy="289601"/>
                  </a:xfrm>
                  <a:prstGeom prst="rect">
                    <a:avLst/>
                  </a:prstGeom>
                </pic:spPr>
              </pic:pic>
            </a:graphicData>
          </a:graphic>
        </wp:inline>
      </w:drawing>
    </w:r>
  </w:p>
  <w:p w:rsidR="006210BB" w:rsidRDefault="006210BB" w:rsidP="006210BB">
    <w:pPr>
      <w:pStyle w:val="Piedepgina"/>
    </w:pPr>
  </w:p>
  <w:p w:rsidR="006210BB" w:rsidRDefault="006210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F2" w:rsidRDefault="00C270F2" w:rsidP="006210BB">
      <w:pPr>
        <w:spacing w:after="0" w:line="240" w:lineRule="auto"/>
      </w:pPr>
      <w:r>
        <w:separator/>
      </w:r>
    </w:p>
  </w:footnote>
  <w:footnote w:type="continuationSeparator" w:id="0">
    <w:p w:rsidR="00C270F2" w:rsidRDefault="00C270F2" w:rsidP="00621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BB" w:rsidRDefault="006210BB" w:rsidP="006210BB">
    <w:pPr>
      <w:pStyle w:val="Encabezado"/>
    </w:pPr>
    <w:r>
      <w:rPr>
        <w:noProof/>
        <w:lang w:eastAsia="es-MX"/>
      </w:rPr>
      <w:drawing>
        <wp:inline distT="0" distB="0" distL="0" distR="0" wp14:anchorId="41505D97" wp14:editId="43234C50">
          <wp:extent cx="1504950" cy="538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MS.jpg"/>
                  <pic:cNvPicPr/>
                </pic:nvPicPr>
                <pic:blipFill>
                  <a:blip r:embed="rId1">
                    <a:extLst>
                      <a:ext uri="{28A0092B-C50C-407E-A947-70E740481C1C}">
                        <a14:useLocalDpi xmlns:a14="http://schemas.microsoft.com/office/drawing/2010/main" val="0"/>
                      </a:ext>
                    </a:extLst>
                  </a:blip>
                  <a:stretch>
                    <a:fillRect/>
                  </a:stretch>
                </pic:blipFill>
                <pic:spPr>
                  <a:xfrm>
                    <a:off x="0" y="0"/>
                    <a:ext cx="1552160" cy="554897"/>
                  </a:xfrm>
                  <a:prstGeom prst="rect">
                    <a:avLst/>
                  </a:prstGeom>
                </pic:spPr>
              </pic:pic>
            </a:graphicData>
          </a:graphic>
        </wp:inline>
      </w:drawing>
    </w:r>
    <w:r>
      <w:rPr>
        <w:noProof/>
        <w:lang w:eastAsia="es-MX"/>
      </w:rPr>
      <w:t xml:space="preserve">                                                                        </w:t>
    </w:r>
    <w:r>
      <w:rPr>
        <w:noProof/>
        <w:lang w:eastAsia="es-MX"/>
      </w:rPr>
      <w:drawing>
        <wp:inline distT="0" distB="0" distL="0" distR="0" wp14:anchorId="3C336677" wp14:editId="1AEEAF0F">
          <wp:extent cx="1676400" cy="5951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dgred.jpg"/>
                  <pic:cNvPicPr/>
                </pic:nvPicPr>
                <pic:blipFill>
                  <a:blip r:embed="rId2">
                    <a:extLst>
                      <a:ext uri="{28A0092B-C50C-407E-A947-70E740481C1C}">
                        <a14:useLocalDpi xmlns:a14="http://schemas.microsoft.com/office/drawing/2010/main" val="0"/>
                      </a:ext>
                    </a:extLst>
                  </a:blip>
                  <a:stretch>
                    <a:fillRect/>
                  </a:stretch>
                </pic:blipFill>
                <pic:spPr>
                  <a:xfrm>
                    <a:off x="0" y="0"/>
                    <a:ext cx="1702967" cy="604553"/>
                  </a:xfrm>
                  <a:prstGeom prst="rect">
                    <a:avLst/>
                  </a:prstGeom>
                </pic:spPr>
              </pic:pic>
            </a:graphicData>
          </a:graphic>
        </wp:inline>
      </w:drawing>
    </w:r>
    <w:r>
      <w:rPr>
        <w:noProof/>
        <w:lang w:eastAsia="es-MX"/>
      </w:rPr>
      <w:t xml:space="preserve">                               </w:t>
    </w:r>
  </w:p>
  <w:p w:rsidR="006210BB" w:rsidRDefault="006210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B56"/>
    <w:multiLevelType w:val="hybridMultilevel"/>
    <w:tmpl w:val="96B04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BB"/>
    <w:rsid w:val="006210BB"/>
    <w:rsid w:val="00C270F2"/>
    <w:rsid w:val="00D857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B578C-87DD-4EBA-88A3-309AAE85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0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10BB"/>
    <w:pPr>
      <w:ind w:left="720"/>
      <w:contextualSpacing/>
    </w:pPr>
  </w:style>
  <w:style w:type="table" w:styleId="Tablaconcuadrcula">
    <w:name w:val="Table Grid"/>
    <w:basedOn w:val="Tablanormal"/>
    <w:uiPriority w:val="39"/>
    <w:rsid w:val="00621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10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0BB"/>
  </w:style>
  <w:style w:type="paragraph" w:styleId="Piedepgina">
    <w:name w:val="footer"/>
    <w:basedOn w:val="Normal"/>
    <w:link w:val="PiedepginaCar"/>
    <w:uiPriority w:val="99"/>
    <w:unhideWhenUsed/>
    <w:rsid w:val="006210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10BB"/>
  </w:style>
  <w:style w:type="character" w:customStyle="1" w:styleId="A0">
    <w:name w:val="A0"/>
    <w:uiPriority w:val="99"/>
    <w:rsid w:val="006210BB"/>
    <w:rPr>
      <w:rFonts w:cs="Adobe Garamon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740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2016-04-18T20:41:00Z</dcterms:created>
  <dcterms:modified xsi:type="dcterms:W3CDTF">2016-04-18T20:41:00Z</dcterms:modified>
</cp:coreProperties>
</file>