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76" w:rsidRDefault="00FF7C76" w:rsidP="00FB584D">
      <w:pPr>
        <w:spacing w:line="360" w:lineRule="auto"/>
        <w:jc w:val="center"/>
        <w:rPr>
          <w:rFonts w:ascii="Humanst521 BT" w:hAnsi="Humanst521 BT"/>
          <w:b/>
          <w:sz w:val="24"/>
          <w:szCs w:val="24"/>
          <w:lang w:val="en-US"/>
        </w:rPr>
      </w:pPr>
    </w:p>
    <w:p w:rsidR="00FB584D" w:rsidRPr="00F7639D" w:rsidRDefault="00FB584D" w:rsidP="00FB584D">
      <w:pPr>
        <w:spacing w:line="360" w:lineRule="auto"/>
        <w:jc w:val="center"/>
        <w:rPr>
          <w:rFonts w:ascii="Humanst521 BT" w:hAnsi="Humanst521 BT"/>
          <w:b/>
          <w:sz w:val="24"/>
          <w:szCs w:val="24"/>
          <w:lang w:val="en-US"/>
        </w:rPr>
      </w:pPr>
      <w:r w:rsidRPr="00F7639D">
        <w:rPr>
          <w:rFonts w:ascii="Humanst521 BT" w:hAnsi="Humanst521 BT"/>
          <w:b/>
          <w:sz w:val="24"/>
          <w:szCs w:val="24"/>
          <w:lang w:val="en-US"/>
        </w:rPr>
        <w:t>Student’s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584D" w:rsidRPr="00F7639D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b/>
                <w:sz w:val="24"/>
                <w:szCs w:val="24"/>
                <w:lang w:val="en-US"/>
              </w:rPr>
              <w:t>Name;</w:t>
            </w:r>
          </w:p>
        </w:tc>
      </w:tr>
      <w:tr w:rsidR="00FB584D" w:rsidRPr="00F7639D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</w:rPr>
            </w:pPr>
            <w:proofErr w:type="spellStart"/>
            <w:r w:rsidRPr="00F7639D">
              <w:rPr>
                <w:rFonts w:ascii="Humanst521 BT" w:hAnsi="Humanst521 BT"/>
                <w:b/>
                <w:sz w:val="24"/>
                <w:szCs w:val="24"/>
              </w:rPr>
              <w:t>Age</w:t>
            </w:r>
            <w:proofErr w:type="spellEnd"/>
            <w:r w:rsidRPr="00F7639D">
              <w:rPr>
                <w:rFonts w:ascii="Humanst521 BT" w:hAnsi="Humanst521 BT"/>
                <w:b/>
                <w:sz w:val="24"/>
                <w:szCs w:val="24"/>
              </w:rPr>
              <w:t>:</w:t>
            </w:r>
          </w:p>
        </w:tc>
      </w:tr>
      <w:tr w:rsidR="00FB584D" w:rsidRPr="00F7639D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</w:rPr>
            </w:pPr>
            <w:proofErr w:type="spellStart"/>
            <w:r w:rsidRPr="00F7639D">
              <w:rPr>
                <w:rFonts w:ascii="Humanst521 BT" w:hAnsi="Humanst521 BT"/>
                <w:b/>
                <w:sz w:val="24"/>
                <w:szCs w:val="24"/>
              </w:rPr>
              <w:t>School</w:t>
            </w:r>
            <w:proofErr w:type="spellEnd"/>
            <w:r w:rsidRPr="00F7639D">
              <w:rPr>
                <w:rFonts w:ascii="Humanst521 BT" w:hAnsi="Humanst521 BT"/>
                <w:b/>
                <w:sz w:val="24"/>
                <w:szCs w:val="24"/>
              </w:rPr>
              <w:t xml:space="preserve"> of </w:t>
            </w:r>
            <w:proofErr w:type="spellStart"/>
            <w:r w:rsidRPr="00F7639D">
              <w:rPr>
                <w:rFonts w:ascii="Humanst521 BT" w:hAnsi="Humanst521 BT"/>
                <w:b/>
                <w:sz w:val="24"/>
                <w:szCs w:val="24"/>
              </w:rPr>
              <w:t>origin</w:t>
            </w:r>
            <w:proofErr w:type="spellEnd"/>
            <w:r w:rsidRPr="00F7639D">
              <w:rPr>
                <w:rFonts w:ascii="Humanst521 BT" w:hAnsi="Humanst521 BT"/>
                <w:b/>
                <w:sz w:val="24"/>
                <w:szCs w:val="24"/>
              </w:rPr>
              <w:t>:</w:t>
            </w:r>
          </w:p>
        </w:tc>
      </w:tr>
      <w:tr w:rsidR="00FB584D" w:rsidRPr="00F7639D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  <w:r w:rsidRPr="00F7639D">
              <w:rPr>
                <w:rFonts w:ascii="Humanst521 BT" w:hAnsi="Humanst521 BT"/>
                <w:b/>
                <w:sz w:val="24"/>
                <w:szCs w:val="24"/>
                <w:lang w:val="en-US"/>
              </w:rPr>
              <w:t>TAE selected:</w:t>
            </w:r>
          </w:p>
        </w:tc>
        <w:bookmarkStart w:id="0" w:name="_GoBack"/>
        <w:bookmarkEnd w:id="0"/>
      </w:tr>
      <w:tr w:rsidR="00FB584D" w:rsidRPr="00F7639D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</w:rPr>
            </w:pPr>
            <w:proofErr w:type="spellStart"/>
            <w:r w:rsidRPr="00F7639D">
              <w:rPr>
                <w:rFonts w:ascii="Humanst521 BT" w:hAnsi="Humanst521 BT"/>
                <w:b/>
                <w:sz w:val="24"/>
                <w:szCs w:val="24"/>
              </w:rPr>
              <w:t>Reasons</w:t>
            </w:r>
            <w:proofErr w:type="spellEnd"/>
            <w:r w:rsidRPr="00F7639D">
              <w:rPr>
                <w:rFonts w:ascii="Humanst521 BT" w:hAnsi="Humanst521 BT"/>
                <w:b/>
                <w:sz w:val="24"/>
                <w:szCs w:val="24"/>
              </w:rPr>
              <w:t xml:space="preserve"> of </w:t>
            </w:r>
            <w:proofErr w:type="spellStart"/>
            <w:r w:rsidRPr="00F7639D">
              <w:rPr>
                <w:rFonts w:ascii="Humanst521 BT" w:hAnsi="Humanst521 BT"/>
                <w:b/>
                <w:sz w:val="24"/>
                <w:szCs w:val="24"/>
              </w:rPr>
              <w:t>choice</w:t>
            </w:r>
            <w:proofErr w:type="spellEnd"/>
            <w:r w:rsidRPr="00F7639D">
              <w:rPr>
                <w:rFonts w:ascii="Humanst521 BT" w:hAnsi="Humanst521 BT"/>
                <w:b/>
                <w:sz w:val="24"/>
                <w:szCs w:val="24"/>
              </w:rPr>
              <w:t>:</w:t>
            </w:r>
          </w:p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</w:rPr>
            </w:pPr>
          </w:p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</w:rPr>
            </w:pPr>
          </w:p>
        </w:tc>
      </w:tr>
      <w:tr w:rsidR="00FB584D" w:rsidRPr="00FF7C76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b/>
                <w:sz w:val="24"/>
                <w:szCs w:val="24"/>
                <w:lang w:val="en-US"/>
              </w:rPr>
              <w:t>Abilities you have according to the TAE’s requirements:</w:t>
            </w:r>
          </w:p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  <w:lang w:val="en-US"/>
              </w:rPr>
            </w:pPr>
          </w:p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  <w:lang w:val="en-US"/>
              </w:rPr>
            </w:pPr>
          </w:p>
        </w:tc>
      </w:tr>
      <w:tr w:rsidR="00FB584D" w:rsidRPr="00FF7C76" w:rsidTr="00294C96">
        <w:tc>
          <w:tcPr>
            <w:tcW w:w="8828" w:type="dxa"/>
          </w:tcPr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  <w:lang w:val="en-US"/>
              </w:rPr>
            </w:pPr>
            <w:r w:rsidRPr="00F7639D">
              <w:rPr>
                <w:rFonts w:ascii="Humanst521 BT" w:hAnsi="Humanst521 BT"/>
                <w:b/>
                <w:sz w:val="24"/>
                <w:szCs w:val="24"/>
                <w:lang w:val="en-US"/>
              </w:rPr>
              <w:t>Abilities you don’t have according to the TAE’s requirements:</w:t>
            </w:r>
          </w:p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b/>
                <w:sz w:val="24"/>
                <w:szCs w:val="24"/>
                <w:lang w:val="en-US"/>
              </w:rPr>
            </w:pPr>
          </w:p>
          <w:p w:rsidR="00FB584D" w:rsidRPr="00F7639D" w:rsidRDefault="00FB584D" w:rsidP="00294C96">
            <w:pPr>
              <w:spacing w:line="360" w:lineRule="auto"/>
              <w:jc w:val="both"/>
              <w:rPr>
                <w:rFonts w:ascii="Humanst521 BT" w:hAnsi="Humanst521 BT"/>
                <w:sz w:val="24"/>
                <w:szCs w:val="24"/>
                <w:lang w:val="en-US"/>
              </w:rPr>
            </w:pPr>
          </w:p>
        </w:tc>
      </w:tr>
    </w:tbl>
    <w:p w:rsidR="00E524A3" w:rsidRPr="00FB584D" w:rsidRDefault="00E524A3">
      <w:pPr>
        <w:rPr>
          <w:lang w:val="en-US"/>
        </w:rPr>
      </w:pPr>
    </w:p>
    <w:sectPr w:rsidR="00E524A3" w:rsidRPr="00FB58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04A" w:rsidRDefault="008F404A" w:rsidP="00FF7C76">
      <w:pPr>
        <w:spacing w:after="0" w:line="240" w:lineRule="auto"/>
      </w:pPr>
      <w:r>
        <w:separator/>
      </w:r>
    </w:p>
  </w:endnote>
  <w:endnote w:type="continuationSeparator" w:id="0">
    <w:p w:rsidR="008F404A" w:rsidRDefault="008F404A" w:rsidP="00FF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76" w:rsidRDefault="00FF7C76">
    <w:pPr>
      <w:pStyle w:val="Piedepgina"/>
    </w:pPr>
  </w:p>
  <w:p w:rsidR="00FF7C76" w:rsidRDefault="00FF7C76" w:rsidP="00FF7C76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44407B35" wp14:editId="78C3681B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7C76" w:rsidRDefault="00FF7C76" w:rsidP="00FF7C76">
    <w:pPr>
      <w:pStyle w:val="Pa1"/>
      <w:rPr>
        <w:rFonts w:cs="Adobe Garamond Pro"/>
        <w:color w:val="57585A"/>
        <w:sz w:val="18"/>
        <w:szCs w:val="18"/>
      </w:rPr>
    </w:pPr>
    <w:r>
      <w:rPr>
        <w:rStyle w:val="A1"/>
      </w:rPr>
      <w:t>© 2015, Natalia Hernández Coss y León, Mónica Alejandra Huerta Castañeda</w:t>
    </w:r>
  </w:p>
  <w:p w:rsidR="00FF7C76" w:rsidRDefault="00FF7C76" w:rsidP="00FF7C76">
    <w:pPr>
      <w:pStyle w:val="Piedepgina"/>
    </w:pPr>
    <w:r>
      <w:rPr>
        <w:rStyle w:val="A1"/>
      </w:rPr>
      <w:t xml:space="preserve">Patricia Ramírez Peredo y </w:t>
    </w:r>
    <w:proofErr w:type="spellStart"/>
    <w:r>
      <w:rPr>
        <w:rStyle w:val="A1"/>
      </w:rPr>
      <w:t>Dawn</w:t>
    </w:r>
    <w:proofErr w:type="spellEnd"/>
    <w:r>
      <w:rPr>
        <w:rStyle w:val="A1"/>
      </w:rPr>
      <w:t xml:space="preserve"> Marie Velasco </w:t>
    </w:r>
    <w:proofErr w:type="spellStart"/>
    <w:r>
      <w:rPr>
        <w:rStyle w:val="A1"/>
      </w:rPr>
      <w:t>Patzelt</w:t>
    </w:r>
    <w:proofErr w:type="spellEnd"/>
  </w:p>
  <w:p w:rsidR="00FF7C76" w:rsidRDefault="00FF7C76" w:rsidP="00FF7C76">
    <w:pPr>
      <w:pStyle w:val="Piedepgina"/>
    </w:pPr>
  </w:p>
  <w:p w:rsidR="00FF7C76" w:rsidRDefault="00FF7C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04A" w:rsidRDefault="008F404A" w:rsidP="00FF7C76">
      <w:pPr>
        <w:spacing w:after="0" w:line="240" w:lineRule="auto"/>
      </w:pPr>
      <w:r>
        <w:separator/>
      </w:r>
    </w:p>
  </w:footnote>
  <w:footnote w:type="continuationSeparator" w:id="0">
    <w:p w:rsidR="008F404A" w:rsidRDefault="008F404A" w:rsidP="00FF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76" w:rsidRDefault="00FF7C76" w:rsidP="00FF7C76">
    <w:pPr>
      <w:pStyle w:val="Encabezado"/>
    </w:pPr>
    <w:r>
      <w:rPr>
        <w:noProof/>
        <w:lang w:eastAsia="es-MX"/>
      </w:rPr>
      <w:drawing>
        <wp:inline distT="0" distB="0" distL="0" distR="0" wp14:anchorId="20955333" wp14:editId="1BA5A106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MX"/>
      </w:rPr>
      <w:t xml:space="preserve">                             </w:t>
    </w:r>
    <w:r>
      <w:rPr>
        <w:noProof/>
        <w:lang w:eastAsia="es-MX"/>
      </w:rPr>
      <w:drawing>
        <wp:inline distT="0" distB="0" distL="0" distR="0" wp14:anchorId="3C1F2052" wp14:editId="1127CC06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7C76" w:rsidRDefault="00FF7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4D"/>
    <w:rsid w:val="002260BC"/>
    <w:rsid w:val="008F404A"/>
    <w:rsid w:val="00E524A3"/>
    <w:rsid w:val="00FB584D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C76"/>
  </w:style>
  <w:style w:type="paragraph" w:styleId="Piedepgina">
    <w:name w:val="footer"/>
    <w:basedOn w:val="Normal"/>
    <w:link w:val="PiedepginaCar"/>
    <w:uiPriority w:val="99"/>
    <w:unhideWhenUsed/>
    <w:rsid w:val="00FF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76"/>
  </w:style>
  <w:style w:type="paragraph" w:styleId="Textodeglobo">
    <w:name w:val="Balloon Text"/>
    <w:basedOn w:val="Normal"/>
    <w:link w:val="TextodegloboCar"/>
    <w:uiPriority w:val="99"/>
    <w:semiHidden/>
    <w:unhideWhenUsed/>
    <w:rsid w:val="00FF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7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FF7C76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F7C76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C76"/>
  </w:style>
  <w:style w:type="paragraph" w:styleId="Piedepgina">
    <w:name w:val="footer"/>
    <w:basedOn w:val="Normal"/>
    <w:link w:val="PiedepginaCar"/>
    <w:uiPriority w:val="99"/>
    <w:unhideWhenUsed/>
    <w:rsid w:val="00FF7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76"/>
  </w:style>
  <w:style w:type="paragraph" w:styleId="Textodeglobo">
    <w:name w:val="Balloon Text"/>
    <w:basedOn w:val="Normal"/>
    <w:link w:val="TextodegloboCar"/>
    <w:uiPriority w:val="99"/>
    <w:semiHidden/>
    <w:unhideWhenUsed/>
    <w:rsid w:val="00FF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7C7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FF7C76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F7C76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3</cp:revision>
  <dcterms:created xsi:type="dcterms:W3CDTF">2015-09-14T21:48:00Z</dcterms:created>
  <dcterms:modified xsi:type="dcterms:W3CDTF">2015-09-24T17:34:00Z</dcterms:modified>
</cp:coreProperties>
</file>