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6E" w:rsidRDefault="00330A6E" w:rsidP="00330A6E">
      <w:pPr>
        <w:spacing w:line="360" w:lineRule="auto"/>
        <w:jc w:val="center"/>
        <w:rPr>
          <w:rFonts w:ascii="Humanst521 BT" w:hAnsi="Humanst521 BT" w:cs="Arial"/>
          <w:b/>
          <w:sz w:val="24"/>
          <w:szCs w:val="24"/>
        </w:rPr>
      </w:pPr>
      <w:r>
        <w:rPr>
          <w:rFonts w:ascii="Humanst521 BT" w:hAnsi="Humanst521 BT" w:cs="Arial"/>
          <w:b/>
          <w:sz w:val="24"/>
          <w:szCs w:val="24"/>
        </w:rPr>
        <w:t>E</w:t>
      </w:r>
      <w:r w:rsidRPr="00AB36F7">
        <w:rPr>
          <w:rFonts w:ascii="Humanst521 BT" w:hAnsi="Humanst521 BT" w:cs="Arial"/>
          <w:b/>
          <w:sz w:val="24"/>
          <w:szCs w:val="24"/>
        </w:rPr>
        <w:t>valuación</w:t>
      </w:r>
      <w:r>
        <w:rPr>
          <w:rFonts w:ascii="Humanst521 BT" w:hAnsi="Humanst521 BT" w:cs="Arial"/>
          <w:b/>
          <w:sz w:val="24"/>
          <w:szCs w:val="24"/>
        </w:rPr>
        <w:t xml:space="preserve"> avance módulo 2</w:t>
      </w:r>
    </w:p>
    <w:p w:rsidR="00330A6E" w:rsidRDefault="00330A6E" w:rsidP="00330A6E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bookmarkStart w:id="0" w:name="_GoBack"/>
    </w:p>
    <w:bookmarkEnd w:id="0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69"/>
        <w:gridCol w:w="1537"/>
        <w:gridCol w:w="1537"/>
        <w:gridCol w:w="1537"/>
        <w:gridCol w:w="1537"/>
        <w:gridCol w:w="1537"/>
      </w:tblGrid>
      <w:tr w:rsidR="00330A6E" w:rsidRPr="00AB36F7" w:rsidTr="00974F59">
        <w:trPr>
          <w:trHeight w:val="398"/>
        </w:trPr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30A6E" w:rsidRPr="00AB36F7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b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/>
                <w:b/>
                <w:sz w:val="24"/>
                <w:szCs w:val="24"/>
                <w:lang w:eastAsia="es-MX"/>
              </w:rPr>
              <w:t>CRITERIOS DE EVALUACIÓN</w:t>
            </w:r>
          </w:p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72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NIVEL DE LOGRO DE COMPETENCIAS</w:t>
            </w:r>
          </w:p>
        </w:tc>
      </w:tr>
      <w:tr w:rsidR="00330A6E" w:rsidRPr="00AB36F7" w:rsidTr="00974F59"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ÓPTIMO</w:t>
            </w:r>
          </w:p>
          <w:p w:rsidR="00330A6E" w:rsidRPr="002822F3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(3.75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SUFICIENTE</w:t>
            </w:r>
          </w:p>
          <w:p w:rsidR="00330A6E" w:rsidRPr="002822F3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(3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AVANZADO</w:t>
            </w:r>
          </w:p>
          <w:p w:rsidR="00330A6E" w:rsidRPr="002822F3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(2.25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BÁSICO</w:t>
            </w:r>
          </w:p>
          <w:p w:rsidR="00330A6E" w:rsidRPr="002822F3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(1.50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INSUFICIENTE</w:t>
            </w:r>
          </w:p>
          <w:p w:rsidR="00330A6E" w:rsidRPr="002822F3" w:rsidRDefault="00330A6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(0.75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</w:tr>
      <w:tr w:rsidR="00330A6E" w:rsidRPr="00AB36F7" w:rsidTr="00974F59"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Confiabilidad de las fuentes</w:t>
            </w:r>
          </w:p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(Competencias genéricas 4.3. y 6.1)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totalidad de las fuentes de información en las que se basa el reportaje cumplen con criterios de confiabilid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ad.</w:t>
            </w:r>
          </w:p>
          <w:p w:rsidR="00330A6E" w:rsidRPr="006C07F0" w:rsidRDefault="00330A6E" w:rsidP="00974F59">
            <w:pPr>
              <w:rPr>
                <w:rFonts w:ascii="Humanst521 BT" w:hAnsi="Humanst521 BT" w:cs="Arial"/>
                <w:sz w:val="24"/>
                <w:szCs w:val="24"/>
              </w:rPr>
            </w:pPr>
          </w:p>
          <w:p w:rsidR="00330A6E" w:rsidRPr="006C07F0" w:rsidRDefault="00330A6E" w:rsidP="00974F59">
            <w:pPr>
              <w:rPr>
                <w:rFonts w:ascii="Humanst521 BT" w:hAnsi="Humanst521 BT" w:cs="Arial"/>
                <w:sz w:val="24"/>
                <w:szCs w:val="24"/>
              </w:rPr>
            </w:pPr>
          </w:p>
          <w:p w:rsidR="00330A6E" w:rsidRPr="006C07F0" w:rsidRDefault="00330A6E" w:rsidP="00974F59">
            <w:pPr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 mayoría de las fuentes de información en las que se basa el reportaje cumplen con criterios de confiabilidad.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Algunas de las fuentes de información en las que se basa el reportaje cumplen con criterios de confiabilidad.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Una de las fuentes de información en las que se basa el reportaje cumple con criterios de confiabilidad.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Ninguna de las fuentes de información en las que se basa el reportaje cumple con criterios de confiabilidad.</w:t>
            </w:r>
          </w:p>
        </w:tc>
      </w:tr>
      <w:tr w:rsidR="00330A6E" w:rsidRPr="00AB36F7" w:rsidTr="00974F59"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Rasgos del reportaje</w:t>
            </w:r>
          </w:p>
          <w:p w:rsidR="00330A6E" w:rsidRPr="00AB36F7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(Competencia genérica 4.2)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cumple con la totalidad de las características de un reportaje y con la finalidad del mismo.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cumple con la mayoría de las características de un reportaje y con la finalidad del mismo.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cumple con algunas de las características de un reportaje y con la finalidad del mismo.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no cumple con las características de un reportaje, pero sí con la finalidad del mismo.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no cumple con las características de un reportaje ni con la finalidad del mismo.</w:t>
            </w:r>
          </w:p>
        </w:tc>
      </w:tr>
      <w:tr w:rsidR="00330A6E" w:rsidRPr="00AB36F7" w:rsidTr="00974F59"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Construcción de párrafos</w:t>
            </w:r>
          </w:p>
          <w:p w:rsidR="00330A6E" w:rsidRPr="00AB36F7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(4.1)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La totalidad de los párrafos que constituyen el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reportaje cumplen con los requerimientos planteados en la lectura correspondiente.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La mayoría de los párrafos que constituyen el reportaje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cumplen con los requerimientos planteados en la lectura correspondiente.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Algunos de los párrafos que constituyen el reportaje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cumplen con los requerimientos planteados en la lectura correspondiente.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Uno de los párrafos que constituyen el reportaje cumple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con los requerimientos planteados en la lectura correspondiente.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Ninguno de los párrafos que constituyen el reportaje </w:t>
            </w:r>
            <w:proofErr w:type="gramStart"/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cumplen</w:t>
            </w:r>
            <w:proofErr w:type="gramEnd"/>
            <w:r>
              <w:rPr>
                <w:rFonts w:ascii="Humanst521 BT" w:hAnsi="Humanst521 BT" w:cs="Arial"/>
                <w:sz w:val="24"/>
                <w:szCs w:val="24"/>
              </w:rPr>
              <w:t xml:space="preserve"> con los requerimientos planteados en la lectura correspondiente.</w:t>
            </w:r>
          </w:p>
        </w:tc>
      </w:tr>
      <w:tr w:rsidR="00330A6E" w:rsidRPr="00AB36F7" w:rsidTr="00974F59"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30A6E" w:rsidRPr="00AB36F7" w:rsidRDefault="00330A6E" w:rsidP="00974F59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Redacción</w:t>
            </w:r>
          </w:p>
          <w:p w:rsidR="00330A6E" w:rsidRPr="00AB36F7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30A6E" w:rsidRPr="00AB36F7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30A6E" w:rsidRPr="00AB36F7" w:rsidRDefault="00330A6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El texto cumple con las normas de redacción y contiene un máximo de 5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El texto cumple con las normas de red</w:t>
            </w:r>
            <w:r>
              <w:rPr>
                <w:rFonts w:ascii="Humanst521 BT" w:hAnsi="Humanst521 BT" w:cs="Arial"/>
                <w:sz w:val="24"/>
                <w:szCs w:val="24"/>
              </w:rPr>
              <w:t>acción y contiene un máximo de 10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El texto cumple con las normas de redacción y contiene un máximo de </w:t>
            </w:r>
            <w:r>
              <w:rPr>
                <w:rFonts w:ascii="Humanst521 BT" w:hAnsi="Humanst521 BT" w:cs="Arial"/>
                <w:sz w:val="24"/>
                <w:szCs w:val="24"/>
              </w:rPr>
              <w:t>1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5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El texto cumple con las norma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s de redacción y contiene más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de </w:t>
            </w:r>
            <w:r>
              <w:rPr>
                <w:rFonts w:ascii="Humanst521 BT" w:hAnsi="Humanst521 BT" w:cs="Arial"/>
                <w:sz w:val="24"/>
                <w:szCs w:val="24"/>
              </w:rPr>
              <w:t>1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5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30A6E" w:rsidRPr="00AB36F7" w:rsidRDefault="00330A6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El texto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no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cumple con las normas de reda</w:t>
            </w:r>
            <w:r>
              <w:rPr>
                <w:rFonts w:ascii="Humanst521 BT" w:hAnsi="Humanst521 BT" w:cs="Arial"/>
                <w:sz w:val="24"/>
                <w:szCs w:val="24"/>
              </w:rPr>
              <w:t>cción y contiene más de 15 errores ortográficos.</w:t>
            </w:r>
          </w:p>
        </w:tc>
      </w:tr>
    </w:tbl>
    <w:p w:rsidR="00330A6E" w:rsidRDefault="00330A6E" w:rsidP="00330A6E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</w:p>
    <w:p w:rsidR="00330A6E" w:rsidRPr="006164DF" w:rsidRDefault="00330A6E" w:rsidP="00330A6E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r w:rsidRPr="006164DF">
        <w:rPr>
          <w:rFonts w:ascii="Humanst521 BT" w:hAnsi="Humanst521 BT" w:cs="Arial"/>
          <w:b/>
          <w:sz w:val="24"/>
          <w:szCs w:val="24"/>
        </w:rPr>
        <w:t>Puntuación:</w:t>
      </w:r>
    </w:p>
    <w:p w:rsidR="00330A6E" w:rsidRPr="006164DF" w:rsidRDefault="00330A6E" w:rsidP="00330A6E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r w:rsidRPr="006164DF">
        <w:rPr>
          <w:rFonts w:ascii="Humanst521 BT" w:hAnsi="Humanst521 BT" w:cs="Arial"/>
          <w:b/>
          <w:sz w:val="24"/>
          <w:szCs w:val="24"/>
        </w:rPr>
        <w:lastRenderedPageBreak/>
        <w:t xml:space="preserve">  </w:t>
      </w:r>
    </w:p>
    <w:p w:rsidR="00330A6E" w:rsidRDefault="00330A6E" w:rsidP="00330A6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  <w:sectPr w:rsidR="00330A6E" w:rsidSect="009C3380">
          <w:headerReference w:type="default" r:id="rId6"/>
          <w:footerReference w:type="default" r:id="rId7"/>
          <w:pgSz w:w="12240" w:h="15840"/>
          <w:pgMar w:top="1417" w:right="1701" w:bottom="1417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240" w:charSpace="-2049"/>
        </w:sectPr>
      </w:pPr>
    </w:p>
    <w:p w:rsidR="00330A6E" w:rsidRPr="006164DF" w:rsidRDefault="00330A6E" w:rsidP="00330A6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lastRenderedPageBreak/>
        <w:t>12.1-15</w:t>
      </w:r>
      <w:r w:rsidRPr="006164DF">
        <w:rPr>
          <w:rFonts w:ascii="Humanst521 BT" w:hAnsi="Humanst521 BT" w:cs="Arial"/>
          <w:sz w:val="24"/>
          <w:szCs w:val="24"/>
        </w:rPr>
        <w:t xml:space="preserve"> Excelente</w:t>
      </w:r>
    </w:p>
    <w:p w:rsidR="00330A6E" w:rsidRPr="006164DF" w:rsidRDefault="00330A6E" w:rsidP="00330A6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>9.1-12</w:t>
      </w:r>
      <w:r w:rsidRPr="006164DF">
        <w:rPr>
          <w:rFonts w:ascii="Humanst521 BT" w:hAnsi="Humanst521 BT" w:cs="Arial"/>
          <w:sz w:val="24"/>
          <w:szCs w:val="24"/>
        </w:rPr>
        <w:t xml:space="preserve"> Suficiente</w:t>
      </w:r>
    </w:p>
    <w:p w:rsidR="00330A6E" w:rsidRPr="006164DF" w:rsidRDefault="00330A6E" w:rsidP="00330A6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 xml:space="preserve">  6.1-9</w:t>
      </w:r>
      <w:r w:rsidRPr="006164DF">
        <w:rPr>
          <w:rFonts w:ascii="Humanst521 BT" w:hAnsi="Humanst521 BT" w:cs="Arial"/>
          <w:sz w:val="24"/>
          <w:szCs w:val="24"/>
        </w:rPr>
        <w:t xml:space="preserve"> Avanzado</w:t>
      </w:r>
    </w:p>
    <w:p w:rsidR="00330A6E" w:rsidRPr="006164DF" w:rsidRDefault="00330A6E" w:rsidP="00330A6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 xml:space="preserve">  3.1-6</w:t>
      </w:r>
      <w:r w:rsidRPr="006164DF">
        <w:rPr>
          <w:rFonts w:ascii="Humanst521 BT" w:hAnsi="Humanst521 BT" w:cs="Arial"/>
          <w:sz w:val="24"/>
          <w:szCs w:val="24"/>
        </w:rPr>
        <w:t xml:space="preserve">   Básico</w:t>
      </w:r>
    </w:p>
    <w:p w:rsidR="00330A6E" w:rsidRPr="006164DF" w:rsidRDefault="00330A6E" w:rsidP="00330A6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 xml:space="preserve">  0-3</w:t>
      </w:r>
      <w:r w:rsidRPr="006164DF">
        <w:rPr>
          <w:rFonts w:ascii="Humanst521 BT" w:hAnsi="Humanst521 BT" w:cs="Arial"/>
          <w:sz w:val="24"/>
          <w:szCs w:val="24"/>
        </w:rPr>
        <w:t xml:space="preserve">   Insuficiente</w:t>
      </w:r>
    </w:p>
    <w:p w:rsidR="00330A6E" w:rsidRDefault="00330A6E" w:rsidP="00330A6E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  <w:sectPr w:rsidR="00330A6E" w:rsidSect="009C3380">
          <w:type w:val="continuous"/>
          <w:pgSz w:w="12240" w:h="15840"/>
          <w:pgMar w:top="1417" w:right="1701" w:bottom="1417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formProt w:val="0"/>
          <w:docGrid w:linePitch="240" w:charSpace="-2049"/>
        </w:sectPr>
      </w:pPr>
    </w:p>
    <w:p w:rsidR="00330A6E" w:rsidRPr="006164DF" w:rsidRDefault="00330A6E" w:rsidP="00330A6E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r>
        <w:rPr>
          <w:rFonts w:ascii="Humanst521 BT" w:hAnsi="Humanst521 BT" w:cs="Arial"/>
          <w:b/>
          <w:sz w:val="24"/>
          <w:szCs w:val="24"/>
        </w:rPr>
        <w:lastRenderedPageBreak/>
        <w:t xml:space="preserve"> </w:t>
      </w:r>
    </w:p>
    <w:p w:rsidR="00330A6E" w:rsidRPr="007A08AD" w:rsidRDefault="00330A6E" w:rsidP="00330A6E">
      <w:pPr>
        <w:spacing w:line="360" w:lineRule="auto"/>
        <w:jc w:val="center"/>
        <w:rPr>
          <w:rFonts w:ascii="Humanst521 BT" w:hAnsi="Humanst521 BT" w:cs="Arial"/>
          <w:b/>
          <w:sz w:val="24"/>
          <w:szCs w:val="24"/>
        </w:rPr>
      </w:pPr>
      <w:r w:rsidRPr="006164DF">
        <w:rPr>
          <w:rFonts w:ascii="Humanst521 BT" w:hAnsi="Humanst521 BT" w:cs="Arial"/>
          <w:b/>
          <w:sz w:val="24"/>
          <w:szCs w:val="24"/>
        </w:rPr>
        <w:t>Resultado: ________________</w:t>
      </w:r>
    </w:p>
    <w:p w:rsidR="00330A6E" w:rsidRDefault="00330A6E" w:rsidP="00330A6E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</w:p>
    <w:p w:rsidR="009877E8" w:rsidRDefault="009877E8"/>
    <w:sectPr w:rsidR="009877E8" w:rsidSect="009C338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9A" w:rsidRDefault="009F799A" w:rsidP="009C3380">
      <w:pPr>
        <w:spacing w:after="0" w:line="240" w:lineRule="auto"/>
      </w:pPr>
      <w:r>
        <w:separator/>
      </w:r>
    </w:p>
  </w:endnote>
  <w:endnote w:type="continuationSeparator" w:id="0">
    <w:p w:rsidR="009F799A" w:rsidRDefault="009F799A" w:rsidP="009C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80" w:rsidRPr="009C3380" w:rsidRDefault="009C3380">
    <w:pPr>
      <w:pStyle w:val="Piedepgina"/>
      <w:rPr>
        <w:rFonts w:ascii="Adobe Caslon Pro" w:hAnsi="Adobe Caslon Pro"/>
      </w:rPr>
    </w:pPr>
    <w:r w:rsidRPr="009C3380">
      <w:rPr>
        <w:rFonts w:ascii="Adobe Caslon Pro" w:eastAsiaTheme="minorHAnsi" w:hAnsi="Adobe Caslon Pro" w:cs="Segoe Print"/>
        <w:lang w:val="es"/>
      </w:rPr>
      <w:t>© 2015, Miriam Adriana Figueroa Jiménez y Oscar Eduardo Vargas Alcázar</w:t>
    </w:r>
    <w:r>
      <w:rPr>
        <w:rFonts w:ascii="Adobe Caslon Pro" w:eastAsiaTheme="minorHAnsi" w:hAnsi="Adobe Caslon Pro" w:cs="Segoe Print"/>
        <w:lang w:val="es"/>
      </w:rPr>
      <w:t xml:space="preserve">   </w:t>
    </w:r>
    <w:r>
      <w:rPr>
        <w:rFonts w:ascii="Adobe Caslon Pro" w:hAnsi="Adobe Caslon Pro"/>
        <w:noProof/>
        <w:lang w:eastAsia="es-MX"/>
      </w:rPr>
      <w:drawing>
        <wp:inline distT="0" distB="0" distL="0" distR="0">
          <wp:extent cx="962025" cy="418481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15" cy="421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9A" w:rsidRDefault="009F799A" w:rsidP="009C3380">
      <w:pPr>
        <w:spacing w:after="0" w:line="240" w:lineRule="auto"/>
      </w:pPr>
      <w:r>
        <w:separator/>
      </w:r>
    </w:p>
  </w:footnote>
  <w:footnote w:type="continuationSeparator" w:id="0">
    <w:p w:rsidR="009F799A" w:rsidRDefault="009F799A" w:rsidP="009C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80" w:rsidRDefault="009C3380">
    <w:pPr>
      <w:pStyle w:val="Encabezado"/>
    </w:pPr>
  </w:p>
  <w:p w:rsidR="009C3380" w:rsidRDefault="009C3380">
    <w:pPr>
      <w:pStyle w:val="Encabezado"/>
    </w:pPr>
  </w:p>
  <w:p w:rsidR="009C3380" w:rsidRDefault="009C3380">
    <w:pPr>
      <w:pStyle w:val="Encabezado"/>
    </w:pPr>
    <w:r>
      <w:rPr>
        <w:noProof/>
        <w:lang w:eastAsia="es-MX"/>
      </w:rPr>
      <w:drawing>
        <wp:inline distT="0" distB="0" distL="0" distR="0">
          <wp:extent cx="1341549" cy="476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g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896" cy="482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>
      <w:rPr>
        <w:noProof/>
        <w:lang w:eastAsia="es-MX"/>
      </w:rPr>
      <w:drawing>
        <wp:inline distT="0" distB="0" distL="0" distR="0">
          <wp:extent cx="1457325" cy="5209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E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17" cy="526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6E"/>
    <w:rsid w:val="00330A6E"/>
    <w:rsid w:val="005E11C2"/>
    <w:rsid w:val="009877E8"/>
    <w:rsid w:val="009C3380"/>
    <w:rsid w:val="009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E2C09E-C06D-45C2-80E7-CEC1144D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0A6E"/>
    <w:pPr>
      <w:suppressAutoHyphens/>
      <w:spacing w:after="160" w:line="259" w:lineRule="auto"/>
      <w:textAlignment w:val="baseline"/>
    </w:pPr>
    <w:rPr>
      <w:rFonts w:ascii="Calibri" w:eastAsia="Arial Unicode MS" w:hAnsi="Calibri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380"/>
    <w:rPr>
      <w:rFonts w:ascii="Calibri" w:eastAsia="Arial Unicode MS" w:hAnsi="Calibri" w:cs="Tahoma"/>
    </w:rPr>
  </w:style>
  <w:style w:type="paragraph" w:styleId="Piedepgina">
    <w:name w:val="footer"/>
    <w:basedOn w:val="Normal"/>
    <w:link w:val="PiedepginaCar"/>
    <w:uiPriority w:val="99"/>
    <w:unhideWhenUsed/>
    <w:rsid w:val="009C3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380"/>
    <w:rPr>
      <w:rFonts w:ascii="Calibri" w:eastAsia="Arial Unicode MS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3</cp:revision>
  <dcterms:created xsi:type="dcterms:W3CDTF">2015-08-26T22:29:00Z</dcterms:created>
  <dcterms:modified xsi:type="dcterms:W3CDTF">2015-10-06T17:26:00Z</dcterms:modified>
</cp:coreProperties>
</file>